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69" w:rsidRDefault="00602269" w:rsidP="00602269">
      <w:pPr>
        <w:spacing w:line="276" w:lineRule="auto"/>
        <w:contextualSpacing/>
        <w:jc w:val="center"/>
        <w:rPr>
          <w:b/>
        </w:rPr>
      </w:pPr>
      <w:r w:rsidRPr="00E76B18">
        <w:rPr>
          <w:b/>
        </w:rPr>
        <w:t xml:space="preserve">Psalm </w:t>
      </w:r>
      <w:r>
        <w:rPr>
          <w:b/>
        </w:rPr>
        <w:t>Seventy-One, Part 2</w:t>
      </w:r>
    </w:p>
    <w:p w:rsidR="00602269" w:rsidRDefault="00602269" w:rsidP="00602269">
      <w:pPr>
        <w:spacing w:line="276" w:lineRule="auto"/>
        <w:contextualSpacing/>
        <w:jc w:val="center"/>
        <w:rPr>
          <w:rFonts w:eastAsiaTheme="minorHAnsi"/>
          <w:i/>
          <w:lang w:bidi="he-IL"/>
        </w:rPr>
      </w:pPr>
      <w:r w:rsidRPr="004C5743">
        <w:rPr>
          <w:rFonts w:eastAsiaTheme="minorHAnsi"/>
          <w:i/>
          <w:iCs/>
          <w:lang w:bidi="he-IL"/>
        </w:rPr>
        <w:t xml:space="preserve">“Thou art </w:t>
      </w:r>
      <w:r w:rsidRPr="004C5743">
        <w:rPr>
          <w:rFonts w:eastAsiaTheme="minorHAnsi"/>
          <w:i/>
          <w:lang w:bidi="he-IL"/>
        </w:rPr>
        <w:t>my trust from my youth”</w:t>
      </w:r>
    </w:p>
    <w:p w:rsidR="00AA7A40" w:rsidRPr="004C5743" w:rsidRDefault="00AA7A40" w:rsidP="00602269">
      <w:pPr>
        <w:spacing w:line="276" w:lineRule="auto"/>
        <w:contextualSpacing/>
        <w:jc w:val="center"/>
        <w:rPr>
          <w:b/>
          <w:i/>
        </w:rPr>
      </w:pPr>
    </w:p>
    <w:p w:rsidR="00602269" w:rsidRPr="0037212F" w:rsidRDefault="00602269" w:rsidP="00602269">
      <w:pPr>
        <w:spacing w:line="276" w:lineRule="auto"/>
        <w:contextualSpacing/>
        <w:jc w:val="both"/>
        <w:rPr>
          <w:b/>
        </w:rPr>
      </w:pPr>
      <w:r w:rsidRPr="0037212F">
        <w:rPr>
          <w:b/>
        </w:rPr>
        <w:t>Introduction</w:t>
      </w:r>
    </w:p>
    <w:p w:rsidR="00602269" w:rsidRDefault="00602269" w:rsidP="00602269">
      <w:pPr>
        <w:spacing w:line="276" w:lineRule="auto"/>
        <w:contextualSpacing/>
        <w:jc w:val="both"/>
      </w:pPr>
    </w:p>
    <w:p w:rsidR="00602269" w:rsidRPr="00F30C71" w:rsidRDefault="00602269" w:rsidP="00602269">
      <w:pPr>
        <w:keepNext/>
        <w:framePr w:dropCap="drop" w:lines="3" w:wrap="around" w:vAnchor="text" w:hAnchor="text"/>
        <w:spacing w:line="952" w:lineRule="exact"/>
        <w:jc w:val="both"/>
        <w:textAlignment w:val="baseline"/>
        <w:rPr>
          <w:position w:val="-10"/>
          <w:sz w:val="121"/>
        </w:rPr>
      </w:pPr>
      <w:r w:rsidRPr="00F30C71">
        <w:rPr>
          <w:position w:val="-10"/>
          <w:sz w:val="121"/>
        </w:rPr>
        <w:t>A</w:t>
      </w:r>
    </w:p>
    <w:p w:rsidR="00602269" w:rsidRDefault="00602269" w:rsidP="00602269">
      <w:pPr>
        <w:spacing w:line="276" w:lineRule="auto"/>
        <w:contextualSpacing/>
        <w:jc w:val="both"/>
      </w:pPr>
      <w:r>
        <w:t xml:space="preserve">lthough the psalm does not have a title, the believer recognizes that David was </w:t>
      </w:r>
      <w:r w:rsidRPr="00F30C71">
        <w:rPr>
          <w:i/>
        </w:rPr>
        <w:t>“the sweet psalmist of Israel”</w:t>
      </w:r>
      <w:r>
        <w:t xml:space="preserve"> (II Sam. 23:1), and therefore the presumed writer.</w:t>
      </w:r>
      <w:r>
        <w:rPr>
          <w:rStyle w:val="FootnoteReference"/>
        </w:rPr>
        <w:footnoteReference w:id="1"/>
      </w:r>
      <w:r>
        <w:t xml:space="preserve"> Davidic expressions occur throughout, such as </w:t>
      </w:r>
      <w:r w:rsidRPr="00F30C71">
        <w:rPr>
          <w:i/>
        </w:rPr>
        <w:t>“my rock and my fortress”</w:t>
      </w:r>
      <w:r>
        <w:t xml:space="preserve"> (v. 3), </w:t>
      </w:r>
      <w:r w:rsidRPr="00E134F5">
        <w:rPr>
          <w:i/>
        </w:rPr>
        <w:t>“forsake me not”</w:t>
      </w:r>
      <w:r>
        <w:t xml:space="preserve"> (v. 9), </w:t>
      </w:r>
      <w:r w:rsidRPr="00E134F5">
        <w:rPr>
          <w:i/>
        </w:rPr>
        <w:t>“mine enemies”</w:t>
      </w:r>
      <w:r>
        <w:t xml:space="preserve"> (v. 10), and </w:t>
      </w:r>
      <w:r w:rsidRPr="00E134F5">
        <w:rPr>
          <w:i/>
        </w:rPr>
        <w:t>“make haste”</w:t>
      </w:r>
      <w:r>
        <w:t xml:space="preserve"> (v. 12).  David testified that he had trusted the LORD from his youth (v. 5), and now was still burdened with troubles in old age (vv. 9, 18).  After the victory over Absalom, King David faced other challenges including the revolt of Sheba (II Sam. 20:1 ff.), the famine (II Sam. 21:1), the sons of the giant (II Sam. 21:16 ff.), and the aspirations of Adonijah (I Ki. 1:5 ff.).  Nevertheless, he served his generation for forty years (Acts 13:36) and appointed Solomon as his successor (I Ki. 1:32).  </w:t>
      </w:r>
    </w:p>
    <w:p w:rsidR="00602269" w:rsidRDefault="00602269" w:rsidP="00602269">
      <w:pPr>
        <w:spacing w:line="276" w:lineRule="auto"/>
        <w:contextualSpacing/>
        <w:jc w:val="both"/>
      </w:pPr>
      <w:r>
        <w:tab/>
        <w:t>Some have posited that Ps. 71 is a continuation of Ps. 70 similar to Pss. 9 and 10, 32 and 33, and 42 and 43. For instance, Wilson averred, saying, “…Psalms 70 and 71 are combined in many ancient manuscripts, indicating they were (in some traditions at least) read as a single psalm.”</w:t>
      </w:r>
      <w:r>
        <w:rPr>
          <w:rStyle w:val="FootnoteReference"/>
        </w:rPr>
        <w:footnoteReference w:id="2"/>
      </w:r>
      <w:r>
        <w:t xml:space="preserve">  As curious as this may be, the Masoretic Text treats the two as separate psalms. </w:t>
      </w:r>
    </w:p>
    <w:p w:rsidR="00602269" w:rsidRDefault="00602269" w:rsidP="00602269">
      <w:pPr>
        <w:spacing w:line="276" w:lineRule="auto"/>
        <w:contextualSpacing/>
        <w:jc w:val="both"/>
      </w:pPr>
    </w:p>
    <w:p w:rsidR="00602269" w:rsidRPr="00515E65" w:rsidRDefault="00602269" w:rsidP="00602269">
      <w:pPr>
        <w:spacing w:line="276" w:lineRule="auto"/>
        <w:contextualSpacing/>
        <w:jc w:val="both"/>
        <w:rPr>
          <w:b/>
        </w:rPr>
      </w:pPr>
      <w:r w:rsidRPr="00515E65">
        <w:rPr>
          <w:b/>
        </w:rPr>
        <w:t>Structure</w:t>
      </w:r>
    </w:p>
    <w:p w:rsidR="00602269" w:rsidRDefault="00602269" w:rsidP="00602269">
      <w:pPr>
        <w:spacing w:line="276" w:lineRule="auto"/>
        <w:contextualSpacing/>
        <w:jc w:val="both"/>
      </w:pPr>
    </w:p>
    <w:p w:rsidR="00602269" w:rsidRDefault="00602269" w:rsidP="00602269">
      <w:pPr>
        <w:spacing w:line="276" w:lineRule="auto"/>
        <w:ind w:firstLine="720"/>
        <w:contextualSpacing/>
        <w:jc w:val="both"/>
      </w:pPr>
      <w:r>
        <w:t xml:space="preserve">In broad strokes, the structure seems to follow the chiasm of the psalmist’s confidence in God, surrounding his concern for deliverance and vindication.  David had the testimony of trusting in the Lord throughout his lifetime in spite of continuous trouble. His longest psalm bespoke of the vicissitudes of the life of faith in the midst of difficulties, as he concluded, saying, </w:t>
      </w:r>
      <w:r w:rsidRPr="00ED6D08">
        <w:rPr>
          <w:i/>
        </w:rPr>
        <w:t>“</w:t>
      </w:r>
      <w:r w:rsidRPr="00ED6D08">
        <w:rPr>
          <w:rFonts w:eastAsiaTheme="minorHAnsi"/>
          <w:i/>
          <w:lang w:bidi="he-IL"/>
        </w:rPr>
        <w:t>My soul fainteth for thy salvation: but I hope in thy word</w:t>
      </w:r>
      <w:r w:rsidRPr="00ED6D08">
        <w:rPr>
          <w:i/>
        </w:rPr>
        <w:t xml:space="preserve">” </w:t>
      </w:r>
      <w:r>
        <w:t>(Ps. 119:81).  The interpretation will follow the flow of the confidence and concern of aged David wherein he realized that the spiritual battles last the duration of a lifetime. One of the last battles that King David had was the attempted coup by his son Adonijah (I Ki. 1:5-39). The commentary will follow this interpretation.</w:t>
      </w:r>
    </w:p>
    <w:p w:rsidR="00602269" w:rsidRDefault="00602269" w:rsidP="00602269">
      <w:pPr>
        <w:spacing w:line="276" w:lineRule="auto"/>
        <w:ind w:firstLine="720"/>
        <w:contextualSpacing/>
        <w:jc w:val="both"/>
      </w:pPr>
    </w:p>
    <w:p w:rsidR="00602269" w:rsidRPr="00515E65" w:rsidRDefault="00602269" w:rsidP="00602269">
      <w:pPr>
        <w:spacing w:line="276" w:lineRule="auto"/>
        <w:contextualSpacing/>
        <w:jc w:val="both"/>
        <w:rPr>
          <w:rFonts w:eastAsiaTheme="minorHAnsi"/>
          <w:lang w:bidi="he-IL"/>
        </w:rPr>
      </w:pPr>
      <w:r w:rsidRPr="00515E65">
        <w:rPr>
          <w:rFonts w:eastAsiaTheme="minorHAnsi"/>
          <w:lang w:bidi="he-IL"/>
        </w:rPr>
        <w:t xml:space="preserve">A. </w:t>
      </w:r>
      <w:r>
        <w:rPr>
          <w:rFonts w:eastAsiaTheme="minorHAnsi"/>
          <w:lang w:bidi="he-IL"/>
        </w:rPr>
        <w:t xml:space="preserve">His </w:t>
      </w:r>
      <w:r w:rsidRPr="00515E65">
        <w:rPr>
          <w:rFonts w:eastAsiaTheme="minorHAnsi"/>
          <w:lang w:bidi="he-IL"/>
        </w:rPr>
        <w:t>Confidence</w:t>
      </w:r>
      <w:r>
        <w:rPr>
          <w:rFonts w:eastAsiaTheme="minorHAnsi"/>
          <w:lang w:bidi="he-IL"/>
        </w:rPr>
        <w:t xml:space="preserve"> in the LORD (vv. 1-11)</w:t>
      </w:r>
    </w:p>
    <w:p w:rsidR="00602269" w:rsidRPr="00515E65" w:rsidRDefault="00602269" w:rsidP="00602269">
      <w:pPr>
        <w:spacing w:line="276" w:lineRule="auto"/>
        <w:ind w:left="720"/>
        <w:contextualSpacing/>
        <w:jc w:val="both"/>
        <w:rPr>
          <w:rFonts w:eastAsiaTheme="minorHAnsi"/>
          <w:lang w:bidi="he-IL"/>
        </w:rPr>
      </w:pPr>
      <w:r w:rsidRPr="00515E65">
        <w:rPr>
          <w:rFonts w:eastAsiaTheme="minorHAnsi"/>
          <w:lang w:bidi="he-IL"/>
        </w:rPr>
        <w:t>B.</w:t>
      </w:r>
      <w:r>
        <w:rPr>
          <w:rFonts w:eastAsiaTheme="minorHAnsi"/>
          <w:lang w:bidi="he-IL"/>
        </w:rPr>
        <w:t xml:space="preserve"> His Concern for Deliverance and Vindication (vv. 12-13)</w:t>
      </w:r>
      <w:r w:rsidRPr="00515E65">
        <w:rPr>
          <w:rFonts w:eastAsiaTheme="minorHAnsi"/>
          <w:lang w:bidi="he-IL"/>
        </w:rPr>
        <w:tab/>
      </w:r>
    </w:p>
    <w:p w:rsidR="00602269" w:rsidRPr="00515E65" w:rsidRDefault="00602269" w:rsidP="00602269">
      <w:pPr>
        <w:spacing w:line="276" w:lineRule="auto"/>
        <w:contextualSpacing/>
        <w:jc w:val="both"/>
        <w:rPr>
          <w:rFonts w:eastAsiaTheme="minorHAnsi"/>
          <w:lang w:bidi="he-IL"/>
        </w:rPr>
      </w:pPr>
      <w:r w:rsidRPr="00515E65">
        <w:rPr>
          <w:rFonts w:eastAsiaTheme="minorHAnsi"/>
          <w:lang w:bidi="he-IL"/>
        </w:rPr>
        <w:t xml:space="preserve">A.’ </w:t>
      </w:r>
      <w:r>
        <w:rPr>
          <w:rFonts w:eastAsiaTheme="minorHAnsi"/>
          <w:lang w:bidi="he-IL"/>
        </w:rPr>
        <w:t xml:space="preserve">His </w:t>
      </w:r>
      <w:r w:rsidRPr="00515E65">
        <w:rPr>
          <w:rFonts w:eastAsiaTheme="minorHAnsi"/>
          <w:lang w:bidi="he-IL"/>
        </w:rPr>
        <w:t>Confidence</w:t>
      </w:r>
      <w:r>
        <w:rPr>
          <w:rFonts w:eastAsiaTheme="minorHAnsi"/>
          <w:lang w:bidi="he-IL"/>
        </w:rPr>
        <w:t xml:space="preserve"> in the Lord GOD (vv. 14-24)</w:t>
      </w:r>
    </w:p>
    <w:p w:rsidR="00B604D5" w:rsidRDefault="00B604D5"/>
    <w:p w:rsidR="00C2496C" w:rsidRPr="00C2496C" w:rsidRDefault="00C2496C" w:rsidP="0060278F">
      <w:pPr>
        <w:spacing w:line="276" w:lineRule="auto"/>
        <w:contextualSpacing/>
        <w:jc w:val="both"/>
        <w:rPr>
          <w:b/>
        </w:rPr>
      </w:pPr>
      <w:r w:rsidRPr="00C2496C">
        <w:rPr>
          <w:b/>
        </w:rPr>
        <w:t>Exegesis</w:t>
      </w:r>
    </w:p>
    <w:p w:rsidR="0060278F" w:rsidRDefault="0060278F" w:rsidP="0060278F">
      <w:pPr>
        <w:spacing w:line="276" w:lineRule="auto"/>
        <w:contextualSpacing/>
        <w:jc w:val="both"/>
        <w:rPr>
          <w:rFonts w:eastAsiaTheme="minorHAnsi"/>
          <w:lang w:bidi="he-IL"/>
        </w:rPr>
      </w:pPr>
    </w:p>
    <w:p w:rsidR="00C2496C" w:rsidRPr="0060278F" w:rsidRDefault="00C2496C" w:rsidP="0060278F">
      <w:pPr>
        <w:spacing w:line="276" w:lineRule="auto"/>
        <w:contextualSpacing/>
        <w:jc w:val="both"/>
        <w:rPr>
          <w:rFonts w:eastAsiaTheme="minorHAnsi"/>
          <w:b/>
          <w:lang w:bidi="he-IL"/>
        </w:rPr>
      </w:pPr>
      <w:r w:rsidRPr="0060278F">
        <w:rPr>
          <w:rFonts w:eastAsiaTheme="minorHAnsi"/>
          <w:b/>
          <w:lang w:bidi="he-IL"/>
        </w:rPr>
        <w:t>B. His Concern for Deliverance and Vindication (vv. 12-13)</w:t>
      </w:r>
    </w:p>
    <w:p w:rsidR="00C2496C" w:rsidRPr="0060278F" w:rsidRDefault="00C2496C" w:rsidP="0060278F">
      <w:pPr>
        <w:spacing w:line="276" w:lineRule="auto"/>
        <w:contextualSpacing/>
        <w:jc w:val="both"/>
        <w:rPr>
          <w:rFonts w:eastAsiaTheme="minorHAnsi"/>
          <w:b/>
          <w:i/>
          <w:lang w:bidi="he-IL"/>
        </w:rPr>
      </w:pPr>
      <w:r>
        <w:rPr>
          <w:rFonts w:eastAsiaTheme="minorHAnsi"/>
          <w:lang w:bidi="he-IL"/>
        </w:rPr>
        <w:tab/>
      </w:r>
      <w:r w:rsidRPr="0060278F">
        <w:rPr>
          <w:rFonts w:eastAsiaTheme="minorHAnsi"/>
          <w:b/>
          <w:i/>
          <w:lang w:bidi="he-IL"/>
        </w:rPr>
        <w:t>1. David’s Advocate</w:t>
      </w:r>
      <w:r w:rsidR="001D253B" w:rsidRPr="0060278F">
        <w:rPr>
          <w:rFonts w:eastAsiaTheme="minorHAnsi"/>
          <w:b/>
          <w:i/>
          <w:lang w:bidi="he-IL"/>
        </w:rPr>
        <w:t xml:space="preserve"> (v. 12)</w:t>
      </w:r>
    </w:p>
    <w:p w:rsidR="00C2496C" w:rsidRPr="001D253B" w:rsidRDefault="00C2496C" w:rsidP="0060278F">
      <w:pPr>
        <w:spacing w:line="276" w:lineRule="auto"/>
        <w:contextualSpacing/>
        <w:jc w:val="both"/>
        <w:rPr>
          <w:rFonts w:eastAsiaTheme="minorHAnsi"/>
          <w:i/>
          <w:lang w:bidi="he-IL"/>
        </w:rPr>
      </w:pPr>
      <w:r>
        <w:rPr>
          <w:rFonts w:eastAsiaTheme="minorHAnsi"/>
          <w:lang w:bidi="he-IL"/>
        </w:rPr>
        <w:tab/>
      </w:r>
      <w:r>
        <w:rPr>
          <w:rFonts w:eastAsiaTheme="minorHAnsi"/>
          <w:lang w:bidi="he-IL"/>
        </w:rPr>
        <w:tab/>
        <w:t xml:space="preserve">a. </w:t>
      </w:r>
      <w:r w:rsidR="00CC151E">
        <w:rPr>
          <w:rFonts w:eastAsiaTheme="minorHAnsi"/>
          <w:lang w:bidi="he-IL"/>
        </w:rPr>
        <w:t xml:space="preserve">Resolve His Dilemma &gt; </w:t>
      </w:r>
      <w:r w:rsidR="00CC151E" w:rsidRPr="001D253B">
        <w:rPr>
          <w:rFonts w:eastAsiaTheme="minorHAnsi"/>
          <w:i/>
          <w:lang w:bidi="he-IL"/>
        </w:rPr>
        <w:t>“be not far”</w:t>
      </w:r>
    </w:p>
    <w:p w:rsidR="00CC151E" w:rsidRDefault="00CC151E"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1) Ps. 22:11, 19</w:t>
      </w:r>
    </w:p>
    <w:p w:rsidR="00CC151E" w:rsidRDefault="00CC151E"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2) Ps. 35:22</w:t>
      </w:r>
    </w:p>
    <w:p w:rsidR="00C2496C" w:rsidRPr="001D253B" w:rsidRDefault="00C2496C" w:rsidP="0060278F">
      <w:pPr>
        <w:spacing w:line="276" w:lineRule="auto"/>
        <w:contextualSpacing/>
        <w:jc w:val="both"/>
        <w:rPr>
          <w:rFonts w:eastAsiaTheme="minorHAnsi"/>
          <w:i/>
          <w:lang w:bidi="he-IL"/>
        </w:rPr>
      </w:pPr>
      <w:r>
        <w:rPr>
          <w:rFonts w:eastAsiaTheme="minorHAnsi"/>
          <w:lang w:bidi="he-IL"/>
        </w:rPr>
        <w:lastRenderedPageBreak/>
        <w:tab/>
      </w:r>
      <w:r>
        <w:rPr>
          <w:rFonts w:eastAsiaTheme="minorHAnsi"/>
          <w:lang w:bidi="he-IL"/>
        </w:rPr>
        <w:tab/>
        <w:t xml:space="preserve">b. </w:t>
      </w:r>
      <w:r w:rsidR="00CC151E">
        <w:rPr>
          <w:rFonts w:eastAsiaTheme="minorHAnsi"/>
          <w:lang w:bidi="he-IL"/>
        </w:rPr>
        <w:t>Realize His Desire</w:t>
      </w:r>
      <w:r>
        <w:rPr>
          <w:rFonts w:eastAsiaTheme="minorHAnsi"/>
          <w:lang w:bidi="he-IL"/>
        </w:rPr>
        <w:t xml:space="preserve"> </w:t>
      </w:r>
      <w:r w:rsidR="00CC151E">
        <w:rPr>
          <w:rFonts w:eastAsiaTheme="minorHAnsi"/>
          <w:lang w:bidi="he-IL"/>
        </w:rPr>
        <w:t xml:space="preserve">&gt; </w:t>
      </w:r>
      <w:r w:rsidR="00CC151E" w:rsidRPr="001D253B">
        <w:rPr>
          <w:rFonts w:eastAsiaTheme="minorHAnsi"/>
          <w:i/>
          <w:lang w:bidi="he-IL"/>
        </w:rPr>
        <w:t>“make haste”</w:t>
      </w:r>
    </w:p>
    <w:p w:rsidR="00C2496C" w:rsidRDefault="00CC151E"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1) Ps. 38:22</w:t>
      </w:r>
    </w:p>
    <w:p w:rsidR="00CC151E" w:rsidRDefault="00CC151E"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2) Ps. 40:13</w:t>
      </w:r>
    </w:p>
    <w:p w:rsidR="00CC151E" w:rsidRDefault="00CC151E"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3) Ps.  70:1 (2x)</w:t>
      </w:r>
    </w:p>
    <w:p w:rsidR="00CC151E" w:rsidRDefault="00CC151E"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4) Ps. 70:5</w:t>
      </w:r>
    </w:p>
    <w:p w:rsidR="00CC151E" w:rsidRDefault="00CC151E"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5) Ps. 141:1</w:t>
      </w:r>
    </w:p>
    <w:p w:rsidR="00C2496C" w:rsidRPr="0060278F" w:rsidRDefault="00C2496C" w:rsidP="0060278F">
      <w:pPr>
        <w:spacing w:line="276" w:lineRule="auto"/>
        <w:contextualSpacing/>
        <w:jc w:val="both"/>
        <w:rPr>
          <w:rFonts w:eastAsiaTheme="minorHAnsi"/>
          <w:b/>
          <w:i/>
          <w:lang w:bidi="he-IL"/>
        </w:rPr>
      </w:pPr>
      <w:r>
        <w:rPr>
          <w:rFonts w:eastAsiaTheme="minorHAnsi"/>
          <w:lang w:bidi="he-IL"/>
        </w:rPr>
        <w:tab/>
      </w:r>
      <w:r w:rsidRPr="0060278F">
        <w:rPr>
          <w:rFonts w:eastAsiaTheme="minorHAnsi"/>
          <w:b/>
          <w:i/>
          <w:lang w:bidi="he-IL"/>
        </w:rPr>
        <w:t>2. David’s Adversaries</w:t>
      </w:r>
      <w:r w:rsidR="001D253B" w:rsidRPr="0060278F">
        <w:rPr>
          <w:rFonts w:eastAsiaTheme="minorHAnsi"/>
          <w:b/>
          <w:i/>
          <w:lang w:bidi="he-IL"/>
        </w:rPr>
        <w:t xml:space="preserve"> (v. 13)</w:t>
      </w:r>
      <w:r w:rsidR="003A4E5C" w:rsidRPr="003A4E5C">
        <w:rPr>
          <w:rStyle w:val="FootnoteReference"/>
          <w:rFonts w:eastAsiaTheme="minorHAnsi"/>
          <w:lang w:bidi="he-IL"/>
        </w:rPr>
        <w:footnoteReference w:id="3"/>
      </w:r>
    </w:p>
    <w:p w:rsidR="00C2496C" w:rsidRDefault="00C2496C"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t xml:space="preserve">a. Let </w:t>
      </w:r>
      <w:proofErr w:type="gramStart"/>
      <w:r>
        <w:rPr>
          <w:rFonts w:eastAsiaTheme="minorHAnsi"/>
          <w:lang w:bidi="he-IL"/>
        </w:rPr>
        <w:t>Them</w:t>
      </w:r>
      <w:proofErr w:type="gramEnd"/>
      <w:r>
        <w:rPr>
          <w:rFonts w:eastAsiaTheme="minorHAnsi"/>
          <w:lang w:bidi="he-IL"/>
        </w:rPr>
        <w:t xml:space="preserve"> be Confounded</w:t>
      </w:r>
      <w:r w:rsidR="00B51DA8">
        <w:rPr>
          <w:rFonts w:eastAsiaTheme="minorHAnsi"/>
          <w:lang w:bidi="he-IL"/>
        </w:rPr>
        <w:t xml:space="preserve"> &gt; see v. 24</w:t>
      </w:r>
    </w:p>
    <w:p w:rsidR="001D253B" w:rsidRDefault="00B51DA8"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 xml:space="preserve">1) </w:t>
      </w:r>
      <w:proofErr w:type="gramStart"/>
      <w:r w:rsidRPr="00B51DA8">
        <w:rPr>
          <w:rFonts w:eastAsiaTheme="minorHAnsi"/>
          <w:i/>
          <w:lang w:bidi="he-IL"/>
        </w:rPr>
        <w:t>bosh</w:t>
      </w:r>
      <w:proofErr w:type="gramEnd"/>
      <w:r>
        <w:rPr>
          <w:rFonts w:eastAsiaTheme="minorHAnsi"/>
          <w:lang w:bidi="he-IL"/>
        </w:rPr>
        <w:t xml:space="preserve"> (109x) &gt; English </w:t>
      </w:r>
      <w:r w:rsidRPr="00B51DA8">
        <w:rPr>
          <w:rFonts w:eastAsiaTheme="minorHAnsi"/>
          <w:i/>
          <w:lang w:bidi="he-IL"/>
        </w:rPr>
        <w:t>“bosh”</w:t>
      </w:r>
      <w:r>
        <w:rPr>
          <w:rFonts w:eastAsiaTheme="minorHAnsi"/>
          <w:lang w:bidi="he-IL"/>
        </w:rPr>
        <w:t xml:space="preserve"> means something absurd!</w:t>
      </w:r>
    </w:p>
    <w:p w:rsidR="001D253B" w:rsidRDefault="00B51DA8"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2) Ps. 35:4</w:t>
      </w:r>
    </w:p>
    <w:p w:rsidR="0060278F" w:rsidRDefault="00C2496C"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t xml:space="preserve">b. Let </w:t>
      </w:r>
      <w:proofErr w:type="gramStart"/>
      <w:r>
        <w:rPr>
          <w:rFonts w:eastAsiaTheme="minorHAnsi"/>
          <w:lang w:bidi="he-IL"/>
        </w:rPr>
        <w:t>Them</w:t>
      </w:r>
      <w:proofErr w:type="gramEnd"/>
      <w:r>
        <w:rPr>
          <w:rFonts w:eastAsiaTheme="minorHAnsi"/>
          <w:lang w:bidi="he-IL"/>
        </w:rPr>
        <w:t xml:space="preserve"> be Consumed</w:t>
      </w:r>
      <w:r w:rsidR="0060278F">
        <w:rPr>
          <w:rFonts w:eastAsiaTheme="minorHAnsi"/>
          <w:lang w:bidi="he-IL"/>
        </w:rPr>
        <w:t xml:space="preserve"> &gt; see v. 9</w:t>
      </w:r>
    </w:p>
    <w:p w:rsidR="001D253B" w:rsidRDefault="00B51DA8"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 xml:space="preserve">1) </w:t>
      </w:r>
      <w:proofErr w:type="gramStart"/>
      <w:r w:rsidRPr="00B51DA8">
        <w:rPr>
          <w:rFonts w:eastAsiaTheme="minorHAnsi"/>
          <w:i/>
          <w:lang w:bidi="he-IL"/>
        </w:rPr>
        <w:t>calah</w:t>
      </w:r>
      <w:proofErr w:type="gramEnd"/>
      <w:r>
        <w:rPr>
          <w:rFonts w:eastAsiaTheme="minorHAnsi"/>
          <w:lang w:bidi="he-IL"/>
        </w:rPr>
        <w:t xml:space="preserve"> (206x) &gt; c-l-h &gt; k-l &gt; </w:t>
      </w:r>
      <w:r w:rsidRPr="00B51DA8">
        <w:rPr>
          <w:rFonts w:eastAsiaTheme="minorHAnsi"/>
          <w:i/>
          <w:lang w:bidi="he-IL"/>
        </w:rPr>
        <w:t>“kill”</w:t>
      </w:r>
    </w:p>
    <w:p w:rsidR="001D253B" w:rsidRDefault="00B51DA8"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2) Ps. 119:81, 82, 87</w:t>
      </w:r>
    </w:p>
    <w:p w:rsidR="00C2496C" w:rsidRDefault="00C2496C"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t xml:space="preserve">c. Let </w:t>
      </w:r>
      <w:proofErr w:type="gramStart"/>
      <w:r>
        <w:rPr>
          <w:rFonts w:eastAsiaTheme="minorHAnsi"/>
          <w:lang w:bidi="he-IL"/>
        </w:rPr>
        <w:t>Them</w:t>
      </w:r>
      <w:proofErr w:type="gramEnd"/>
      <w:r>
        <w:rPr>
          <w:rFonts w:eastAsiaTheme="minorHAnsi"/>
          <w:lang w:bidi="he-IL"/>
        </w:rPr>
        <w:t xml:space="preserve"> be Covered</w:t>
      </w:r>
    </w:p>
    <w:p w:rsidR="00C2496C" w:rsidRDefault="0060278F"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t xml:space="preserve">1) </w:t>
      </w:r>
      <w:r w:rsidRPr="0060278F">
        <w:rPr>
          <w:rFonts w:eastAsiaTheme="minorHAnsi"/>
          <w:i/>
          <w:lang w:bidi="he-IL"/>
        </w:rPr>
        <w:t>`atah</w:t>
      </w:r>
      <w:r>
        <w:rPr>
          <w:rFonts w:eastAsiaTheme="minorHAnsi"/>
          <w:lang w:bidi="he-IL"/>
        </w:rPr>
        <w:t xml:space="preserve"> (17x) &gt; “wrapped up” </w:t>
      </w:r>
    </w:p>
    <w:p w:rsidR="00C2496C" w:rsidRDefault="00C2496C" w:rsidP="0060278F">
      <w:pPr>
        <w:spacing w:line="276" w:lineRule="auto"/>
        <w:contextualSpacing/>
        <w:jc w:val="both"/>
        <w:rPr>
          <w:rFonts w:eastAsiaTheme="minorHAnsi"/>
          <w:lang w:bidi="he-IL"/>
        </w:rPr>
      </w:pPr>
      <w:r>
        <w:rPr>
          <w:rFonts w:eastAsiaTheme="minorHAnsi"/>
          <w:lang w:bidi="he-IL"/>
        </w:rPr>
        <w:t xml:space="preserve"> </w:t>
      </w:r>
      <w:r w:rsidR="0060278F">
        <w:rPr>
          <w:rFonts w:eastAsiaTheme="minorHAnsi"/>
          <w:lang w:bidi="he-IL"/>
        </w:rPr>
        <w:tab/>
      </w:r>
      <w:r w:rsidR="0060278F">
        <w:rPr>
          <w:rFonts w:eastAsiaTheme="minorHAnsi"/>
          <w:lang w:bidi="he-IL"/>
        </w:rPr>
        <w:tab/>
      </w:r>
      <w:r w:rsidR="0060278F">
        <w:rPr>
          <w:rFonts w:eastAsiaTheme="minorHAnsi"/>
          <w:lang w:bidi="he-IL"/>
        </w:rPr>
        <w:tab/>
        <w:t>2) Ps. 89:4</w:t>
      </w:r>
      <w:r w:rsidR="009F27CC">
        <w:rPr>
          <w:rFonts w:eastAsiaTheme="minorHAnsi"/>
          <w:lang w:bidi="he-IL"/>
        </w:rPr>
        <w:t>5</w:t>
      </w:r>
    </w:p>
    <w:p w:rsidR="00C2496C" w:rsidRDefault="0060278F"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r>
      <w:r>
        <w:rPr>
          <w:rFonts w:eastAsiaTheme="minorHAnsi"/>
          <w:lang w:bidi="he-IL"/>
        </w:rPr>
        <w:tab/>
        <w:t xml:space="preserve">a) </w:t>
      </w:r>
      <w:r w:rsidR="00C20263" w:rsidRPr="00C20263">
        <w:rPr>
          <w:rFonts w:eastAsiaTheme="minorHAnsi"/>
          <w:i/>
          <w:lang w:bidi="he-IL"/>
        </w:rPr>
        <w:t>“</w:t>
      </w:r>
      <w:proofErr w:type="gramStart"/>
      <w:r w:rsidRPr="00C20263">
        <w:rPr>
          <w:rFonts w:eastAsiaTheme="minorHAnsi"/>
          <w:i/>
          <w:lang w:bidi="he-IL"/>
        </w:rPr>
        <w:t>reproach</w:t>
      </w:r>
      <w:proofErr w:type="gramEnd"/>
      <w:r w:rsidR="00C20263" w:rsidRPr="00C20263">
        <w:rPr>
          <w:rFonts w:eastAsiaTheme="minorHAnsi"/>
          <w:i/>
          <w:lang w:bidi="he-IL"/>
        </w:rPr>
        <w:t>”</w:t>
      </w:r>
      <w:r w:rsidRPr="00C20263">
        <w:rPr>
          <w:rFonts w:eastAsiaTheme="minorHAnsi"/>
          <w:i/>
          <w:lang w:bidi="he-IL"/>
        </w:rPr>
        <w:t xml:space="preserve"> &gt; </w:t>
      </w:r>
      <w:r w:rsidR="00C20263" w:rsidRPr="00C20263">
        <w:rPr>
          <w:rFonts w:eastAsiaTheme="minorHAnsi"/>
          <w:i/>
          <w:lang w:bidi="he-IL"/>
        </w:rPr>
        <w:t>cherpah</w:t>
      </w:r>
      <w:r w:rsidR="00C20263">
        <w:rPr>
          <w:rFonts w:eastAsiaTheme="minorHAnsi"/>
          <w:lang w:bidi="he-IL"/>
        </w:rPr>
        <w:t xml:space="preserve"> (73x) &gt; </w:t>
      </w:r>
      <w:r>
        <w:rPr>
          <w:rFonts w:eastAsiaTheme="minorHAnsi"/>
          <w:lang w:bidi="he-IL"/>
        </w:rPr>
        <w:t>Ps. 69:</w:t>
      </w:r>
      <w:r w:rsidR="009F27CC">
        <w:rPr>
          <w:rFonts w:eastAsiaTheme="minorHAnsi"/>
          <w:lang w:bidi="he-IL"/>
        </w:rPr>
        <w:t>19</w:t>
      </w:r>
    </w:p>
    <w:p w:rsidR="00C2496C" w:rsidRDefault="0060278F" w:rsidP="0060278F">
      <w:pPr>
        <w:spacing w:line="276" w:lineRule="auto"/>
        <w:contextualSpacing/>
        <w:jc w:val="both"/>
        <w:rPr>
          <w:rFonts w:eastAsiaTheme="minorHAnsi"/>
          <w:lang w:bidi="he-IL"/>
        </w:rPr>
      </w:pPr>
      <w:r>
        <w:rPr>
          <w:rFonts w:eastAsiaTheme="minorHAnsi"/>
          <w:lang w:bidi="he-IL"/>
        </w:rPr>
        <w:tab/>
      </w:r>
      <w:r>
        <w:rPr>
          <w:rFonts w:eastAsiaTheme="minorHAnsi"/>
          <w:lang w:bidi="he-IL"/>
        </w:rPr>
        <w:tab/>
      </w:r>
      <w:r>
        <w:rPr>
          <w:rFonts w:eastAsiaTheme="minorHAnsi"/>
          <w:lang w:bidi="he-IL"/>
        </w:rPr>
        <w:tab/>
      </w:r>
      <w:r>
        <w:rPr>
          <w:rFonts w:eastAsiaTheme="minorHAnsi"/>
          <w:lang w:bidi="he-IL"/>
        </w:rPr>
        <w:tab/>
        <w:t xml:space="preserve">b) </w:t>
      </w:r>
      <w:r w:rsidR="00C20263" w:rsidRPr="00C20263">
        <w:rPr>
          <w:rFonts w:eastAsiaTheme="minorHAnsi"/>
          <w:i/>
          <w:lang w:bidi="he-IL"/>
        </w:rPr>
        <w:t>“</w:t>
      </w:r>
      <w:proofErr w:type="gramStart"/>
      <w:r w:rsidRPr="00C20263">
        <w:rPr>
          <w:rFonts w:eastAsiaTheme="minorHAnsi"/>
          <w:i/>
          <w:lang w:bidi="he-IL"/>
        </w:rPr>
        <w:t>dishonour</w:t>
      </w:r>
      <w:proofErr w:type="gramEnd"/>
      <w:r w:rsidR="00C20263" w:rsidRPr="00C20263">
        <w:rPr>
          <w:rFonts w:eastAsiaTheme="minorHAnsi"/>
          <w:i/>
          <w:lang w:bidi="he-IL"/>
        </w:rPr>
        <w:t>”</w:t>
      </w:r>
      <w:r w:rsidRPr="00C20263">
        <w:rPr>
          <w:rFonts w:eastAsiaTheme="minorHAnsi"/>
          <w:i/>
          <w:lang w:bidi="he-IL"/>
        </w:rPr>
        <w:t xml:space="preserve"> &gt; </w:t>
      </w:r>
      <w:proofErr w:type="spellStart"/>
      <w:r w:rsidR="00C20263" w:rsidRPr="00C20263">
        <w:rPr>
          <w:rFonts w:eastAsiaTheme="minorHAnsi"/>
          <w:i/>
          <w:lang w:bidi="he-IL"/>
        </w:rPr>
        <w:t>kelimmah</w:t>
      </w:r>
      <w:proofErr w:type="spellEnd"/>
      <w:r w:rsidR="00C20263" w:rsidRPr="00C20263">
        <w:rPr>
          <w:rFonts w:eastAsiaTheme="minorHAnsi"/>
          <w:lang w:bidi="he-IL"/>
        </w:rPr>
        <w:t xml:space="preserve"> </w:t>
      </w:r>
      <w:r w:rsidR="00C20263">
        <w:rPr>
          <w:rFonts w:eastAsiaTheme="minorHAnsi"/>
          <w:lang w:bidi="he-IL"/>
        </w:rPr>
        <w:t xml:space="preserve"> (30x) &gt; </w:t>
      </w:r>
      <w:r>
        <w:rPr>
          <w:rFonts w:eastAsiaTheme="minorHAnsi"/>
          <w:lang w:bidi="he-IL"/>
        </w:rPr>
        <w:t>Ps. 69:19</w:t>
      </w:r>
    </w:p>
    <w:p w:rsidR="00C2496C" w:rsidRDefault="00C2496C" w:rsidP="0060278F">
      <w:pPr>
        <w:spacing w:line="276" w:lineRule="auto"/>
        <w:contextualSpacing/>
        <w:jc w:val="both"/>
        <w:rPr>
          <w:rFonts w:eastAsiaTheme="minorHAnsi"/>
          <w:lang w:bidi="he-IL"/>
        </w:rPr>
      </w:pPr>
    </w:p>
    <w:p w:rsidR="0060278F" w:rsidRDefault="001D253B" w:rsidP="0060278F">
      <w:pPr>
        <w:spacing w:line="276" w:lineRule="auto"/>
        <w:contextualSpacing/>
        <w:jc w:val="both"/>
        <w:rPr>
          <w:b/>
        </w:rPr>
      </w:pPr>
      <w:r w:rsidRPr="001D253B">
        <w:rPr>
          <w:b/>
        </w:rPr>
        <w:t>CONCLUSION:</w:t>
      </w:r>
      <w:r w:rsidR="0060278F">
        <w:rPr>
          <w:b/>
        </w:rPr>
        <w:t xml:space="preserve"> </w:t>
      </w:r>
      <w:r w:rsidR="0060278F" w:rsidRPr="001E1057">
        <w:rPr>
          <w:b/>
        </w:rPr>
        <w:t xml:space="preserve">The Lord is the </w:t>
      </w:r>
      <w:r w:rsidR="0060278F">
        <w:rPr>
          <w:b/>
        </w:rPr>
        <w:t>S</w:t>
      </w:r>
      <w:r w:rsidR="0060278F" w:rsidRPr="001E1057">
        <w:rPr>
          <w:b/>
        </w:rPr>
        <w:t>aviour of the believer throughout time and eternity</w:t>
      </w:r>
      <w:r w:rsidR="0060278F">
        <w:rPr>
          <w:b/>
        </w:rPr>
        <w:t>. He said</w:t>
      </w:r>
      <w:r w:rsidR="0060278F" w:rsidRPr="001E1057">
        <w:rPr>
          <w:b/>
        </w:rPr>
        <w:t xml:space="preserve">, </w:t>
      </w:r>
      <w:r w:rsidR="0060278F" w:rsidRPr="001E1057">
        <w:rPr>
          <w:b/>
          <w:i/>
        </w:rPr>
        <w:t>“</w:t>
      </w:r>
      <w:r w:rsidR="0060278F" w:rsidRPr="001E1057">
        <w:rPr>
          <w:rFonts w:eastAsiaTheme="minorHAnsi"/>
          <w:b/>
          <w:i/>
          <w:lang w:bidi="he-IL"/>
        </w:rPr>
        <w:t>I will never leave thee, nor forsake thee.   So that we may boldly say, The Lord is my helper, and I will not fear what man shall do unto me</w:t>
      </w:r>
      <w:r w:rsidR="0060278F" w:rsidRPr="001E1057">
        <w:rPr>
          <w:b/>
          <w:i/>
        </w:rPr>
        <w:t>”</w:t>
      </w:r>
      <w:r w:rsidR="0060278F" w:rsidRPr="001E1057">
        <w:rPr>
          <w:b/>
        </w:rPr>
        <w:t xml:space="preserve"> (Heb. 13:5-6)</w:t>
      </w:r>
      <w:r w:rsidR="0060278F">
        <w:rPr>
          <w:b/>
        </w:rPr>
        <w:t>.</w:t>
      </w:r>
    </w:p>
    <w:p w:rsidR="0060278F" w:rsidRDefault="0060278F" w:rsidP="0060278F">
      <w:pPr>
        <w:spacing w:line="276" w:lineRule="auto"/>
        <w:contextualSpacing/>
        <w:jc w:val="both"/>
        <w:rPr>
          <w:b/>
        </w:rPr>
      </w:pPr>
    </w:p>
    <w:p w:rsidR="00C2496C" w:rsidRPr="001D253B" w:rsidRDefault="00C2496C" w:rsidP="0060278F">
      <w:pPr>
        <w:spacing w:line="276" w:lineRule="auto"/>
        <w:contextualSpacing/>
        <w:jc w:val="both"/>
        <w:rPr>
          <w:b/>
        </w:rPr>
      </w:pPr>
    </w:p>
    <w:sectPr w:rsidR="00C2496C" w:rsidRPr="001D253B" w:rsidSect="00602269">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02" w:rsidRDefault="00162302" w:rsidP="00602269">
      <w:r>
        <w:separator/>
      </w:r>
    </w:p>
  </w:endnote>
  <w:endnote w:type="continuationSeparator" w:id="0">
    <w:p w:rsidR="00162302" w:rsidRDefault="00162302" w:rsidP="00602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02" w:rsidRDefault="00162302" w:rsidP="00602269">
      <w:r>
        <w:separator/>
      </w:r>
    </w:p>
  </w:footnote>
  <w:footnote w:type="continuationSeparator" w:id="0">
    <w:p w:rsidR="00162302" w:rsidRDefault="00162302" w:rsidP="00602269">
      <w:r>
        <w:continuationSeparator/>
      </w:r>
    </w:p>
  </w:footnote>
  <w:footnote w:id="1">
    <w:p w:rsidR="00602269" w:rsidRPr="005E4F57" w:rsidRDefault="00602269" w:rsidP="00602269">
      <w:pPr>
        <w:pStyle w:val="FootnoteText"/>
        <w:spacing w:line="276" w:lineRule="auto"/>
        <w:ind w:firstLine="720"/>
        <w:contextualSpacing/>
        <w:jc w:val="both"/>
        <w:rPr>
          <w:sz w:val="22"/>
          <w:szCs w:val="22"/>
        </w:rPr>
      </w:pPr>
      <w:r w:rsidRPr="005E4F57">
        <w:rPr>
          <w:rStyle w:val="FootnoteReference"/>
          <w:sz w:val="22"/>
          <w:szCs w:val="22"/>
        </w:rPr>
        <w:footnoteRef/>
      </w:r>
      <w:r w:rsidRPr="005E4F57">
        <w:rPr>
          <w:sz w:val="22"/>
          <w:szCs w:val="22"/>
        </w:rPr>
        <w:t xml:space="preserve">The biblical exegete must always interpret the unknown with the known.  Why would not the assumption come forth that David wrote this psalm? He was </w:t>
      </w:r>
      <w:r w:rsidRPr="005E4F57">
        <w:rPr>
          <w:b/>
          <w:i/>
          <w:sz w:val="22"/>
          <w:szCs w:val="22"/>
        </w:rPr>
        <w:t>the</w:t>
      </w:r>
      <w:r w:rsidRPr="005E4F57">
        <w:rPr>
          <w:sz w:val="22"/>
          <w:szCs w:val="22"/>
        </w:rPr>
        <w:t xml:space="preserve"> psalmist of Israel and his expressions occur throughout.  Nevertheless, one conservative commentator postulates concerning authorship, saying, “</w:t>
      </w:r>
      <w:r w:rsidRPr="000E1854">
        <w:rPr>
          <w:b/>
          <w:sz w:val="22"/>
          <w:szCs w:val="22"/>
        </w:rPr>
        <w:t>No author</w:t>
      </w:r>
      <w:r>
        <w:rPr>
          <w:sz w:val="22"/>
          <w:szCs w:val="22"/>
        </w:rPr>
        <w:t xml:space="preserve"> is named for this psalm…</w:t>
      </w:r>
      <w:r w:rsidRPr="000E1854">
        <w:rPr>
          <w:sz w:val="22"/>
          <w:szCs w:val="22"/>
        </w:rPr>
        <w:t xml:space="preserve">All that we know, </w:t>
      </w:r>
      <w:r w:rsidRPr="000E1854">
        <w:rPr>
          <w:b/>
          <w:sz w:val="22"/>
          <w:szCs w:val="22"/>
        </w:rPr>
        <w:t>or need to know</w:t>
      </w:r>
      <w:r w:rsidRPr="005E4F57">
        <w:rPr>
          <w:sz w:val="22"/>
          <w:szCs w:val="22"/>
        </w:rPr>
        <w:t xml:space="preserve">…” Kidner, </w:t>
      </w:r>
      <w:r w:rsidRPr="008523F3">
        <w:rPr>
          <w:i/>
          <w:sz w:val="22"/>
          <w:szCs w:val="22"/>
        </w:rPr>
        <w:t>Psalms 1-72,</w:t>
      </w:r>
      <w:r w:rsidRPr="005E4F57">
        <w:rPr>
          <w:sz w:val="22"/>
          <w:szCs w:val="22"/>
        </w:rPr>
        <w:t xml:space="preserve"> p. </w:t>
      </w:r>
      <w:r>
        <w:rPr>
          <w:sz w:val="22"/>
          <w:szCs w:val="22"/>
        </w:rPr>
        <w:t>2</w:t>
      </w:r>
      <w:r w:rsidRPr="005E4F57">
        <w:rPr>
          <w:sz w:val="22"/>
          <w:szCs w:val="22"/>
        </w:rPr>
        <w:t>69.</w:t>
      </w:r>
    </w:p>
  </w:footnote>
  <w:footnote w:id="2">
    <w:p w:rsidR="00602269" w:rsidRPr="005E4F57" w:rsidRDefault="00602269" w:rsidP="00602269">
      <w:pPr>
        <w:pStyle w:val="FootnoteText"/>
        <w:spacing w:line="276" w:lineRule="auto"/>
        <w:ind w:firstLine="720"/>
        <w:contextualSpacing/>
        <w:jc w:val="both"/>
        <w:rPr>
          <w:sz w:val="22"/>
          <w:szCs w:val="22"/>
        </w:rPr>
      </w:pPr>
      <w:r w:rsidRPr="005E4F57">
        <w:rPr>
          <w:rStyle w:val="FootnoteReference"/>
          <w:sz w:val="22"/>
          <w:szCs w:val="22"/>
        </w:rPr>
        <w:footnoteRef/>
      </w:r>
      <w:r w:rsidRPr="005E4F57">
        <w:rPr>
          <w:sz w:val="22"/>
          <w:szCs w:val="22"/>
        </w:rPr>
        <w:t xml:space="preserve">Wilson, </w:t>
      </w:r>
      <w:r w:rsidRPr="005E4F57">
        <w:rPr>
          <w:i/>
          <w:sz w:val="22"/>
          <w:szCs w:val="22"/>
        </w:rPr>
        <w:t>Psalms. The NIV Application Commentary</w:t>
      </w:r>
      <w:r w:rsidRPr="005E4F57">
        <w:rPr>
          <w:sz w:val="22"/>
          <w:szCs w:val="22"/>
        </w:rPr>
        <w:t xml:space="preserve">, Volume 1, p. 965. </w:t>
      </w:r>
    </w:p>
  </w:footnote>
  <w:footnote w:id="3">
    <w:p w:rsidR="003A4E5C" w:rsidRPr="003A4E5C" w:rsidRDefault="003A4E5C" w:rsidP="003A4E5C">
      <w:pPr>
        <w:autoSpaceDE w:val="0"/>
        <w:autoSpaceDN w:val="0"/>
        <w:adjustRightInd w:val="0"/>
        <w:spacing w:line="276" w:lineRule="auto"/>
        <w:ind w:firstLine="720"/>
        <w:contextualSpacing/>
        <w:jc w:val="both"/>
        <w:rPr>
          <w:sz w:val="22"/>
          <w:szCs w:val="22"/>
        </w:rPr>
      </w:pPr>
      <w:r w:rsidRPr="003A4E5C">
        <w:rPr>
          <w:rStyle w:val="FootnoteReference"/>
          <w:sz w:val="22"/>
          <w:szCs w:val="22"/>
        </w:rPr>
        <w:footnoteRef/>
      </w:r>
      <w:r w:rsidRPr="003A4E5C">
        <w:rPr>
          <w:sz w:val="22"/>
          <w:szCs w:val="22"/>
        </w:rPr>
        <w:t xml:space="preserve">To David the will of God was more important than any human relationship on earth.  He prefigured the truth that the Lord Jesus demanded, saying, </w:t>
      </w:r>
      <w:r w:rsidRPr="003A4E5C">
        <w:rPr>
          <w:i/>
          <w:sz w:val="22"/>
          <w:szCs w:val="22"/>
        </w:rPr>
        <w:t>“</w:t>
      </w:r>
      <w:r w:rsidRPr="003A4E5C">
        <w:rPr>
          <w:rFonts w:eastAsiaTheme="minorHAnsi"/>
          <w:i/>
          <w:sz w:val="22"/>
          <w:szCs w:val="22"/>
          <w:lang w:bidi="he-IL"/>
        </w:rPr>
        <w:t>If any man come to me, and hate not his father, and mother, and wife, and children, and brethren, and sisters, yea, and his own life also, he cannot be my disciple</w:t>
      </w:r>
      <w:r w:rsidRPr="003A4E5C">
        <w:rPr>
          <w:i/>
          <w:sz w:val="22"/>
          <w:szCs w:val="22"/>
        </w:rPr>
        <w:t xml:space="preserve">” </w:t>
      </w:r>
      <w:r w:rsidRPr="003A4E5C">
        <w:rPr>
          <w:sz w:val="22"/>
          <w:szCs w:val="22"/>
        </w:rPr>
        <w:t>(</w:t>
      </w:r>
      <w:r>
        <w:rPr>
          <w:sz w:val="22"/>
          <w:szCs w:val="22"/>
        </w:rPr>
        <w:t>Lk. 14:26</w:t>
      </w:r>
      <w:r w:rsidRPr="003A4E5C">
        <w:rPr>
          <w:sz w:val="22"/>
          <w:szCs w:val="22"/>
        </w:rPr>
        <w:t xml:space="preserve">). Men, husbands, </w:t>
      </w:r>
      <w:r>
        <w:rPr>
          <w:sz w:val="22"/>
          <w:szCs w:val="22"/>
        </w:rPr>
        <w:t xml:space="preserve">and </w:t>
      </w:r>
      <w:r w:rsidRPr="003A4E5C">
        <w:rPr>
          <w:sz w:val="22"/>
          <w:szCs w:val="22"/>
        </w:rPr>
        <w:t>fathers ha</w:t>
      </w:r>
      <w:r>
        <w:rPr>
          <w:sz w:val="22"/>
          <w:szCs w:val="22"/>
        </w:rPr>
        <w:t>ve</w:t>
      </w:r>
      <w:r w:rsidRPr="003A4E5C">
        <w:rPr>
          <w:sz w:val="22"/>
          <w:szCs w:val="22"/>
        </w:rPr>
        <w:t xml:space="preserve"> to say, </w:t>
      </w:r>
      <w:r>
        <w:rPr>
          <w:sz w:val="22"/>
          <w:szCs w:val="22"/>
        </w:rPr>
        <w:t>“</w:t>
      </w:r>
      <w:r w:rsidRPr="003A4E5C">
        <w:rPr>
          <w:sz w:val="22"/>
          <w:szCs w:val="22"/>
        </w:rPr>
        <w:t>I am going to do the will of God for my life!”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602269"/>
    <w:rsid w:val="00162302"/>
    <w:rsid w:val="001C4C7E"/>
    <w:rsid w:val="001D253B"/>
    <w:rsid w:val="002A0FF3"/>
    <w:rsid w:val="00387A88"/>
    <w:rsid w:val="003A4E5C"/>
    <w:rsid w:val="004B088E"/>
    <w:rsid w:val="00602269"/>
    <w:rsid w:val="0060278F"/>
    <w:rsid w:val="007C67E5"/>
    <w:rsid w:val="00880FE6"/>
    <w:rsid w:val="009813DA"/>
    <w:rsid w:val="009F27CC"/>
    <w:rsid w:val="00AA7A40"/>
    <w:rsid w:val="00B51DA8"/>
    <w:rsid w:val="00B604D5"/>
    <w:rsid w:val="00C20263"/>
    <w:rsid w:val="00C2496C"/>
    <w:rsid w:val="00CB093A"/>
    <w:rsid w:val="00CC1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69"/>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02269"/>
    <w:rPr>
      <w:sz w:val="20"/>
      <w:szCs w:val="20"/>
    </w:rPr>
  </w:style>
  <w:style w:type="character" w:customStyle="1" w:styleId="FootnoteTextChar">
    <w:name w:val="Footnote Text Char"/>
    <w:basedOn w:val="DefaultParagraphFont"/>
    <w:link w:val="FootnoteText"/>
    <w:semiHidden/>
    <w:rsid w:val="00602269"/>
    <w:rPr>
      <w:rFonts w:ascii="Times New Roman" w:eastAsia="Times New Roman" w:hAnsi="Times New Roman" w:cs="Times New Roman"/>
      <w:sz w:val="20"/>
      <w:szCs w:val="20"/>
    </w:rPr>
  </w:style>
  <w:style w:type="character" w:styleId="FootnoteReference">
    <w:name w:val="footnote reference"/>
    <w:basedOn w:val="DefaultParagraphFont"/>
    <w:semiHidden/>
    <w:rsid w:val="006022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3AE0D-F75B-409F-BEF9-F59A25FD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4</cp:revision>
  <cp:lastPrinted>2024-10-02T11:57:00Z</cp:lastPrinted>
  <dcterms:created xsi:type="dcterms:W3CDTF">2024-10-01T10:13:00Z</dcterms:created>
  <dcterms:modified xsi:type="dcterms:W3CDTF">2024-10-03T10:02:00Z</dcterms:modified>
</cp:coreProperties>
</file>